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</w:t>
      </w:r>
      <w:r>
        <w:rPr>
          <w:rFonts w:eastAsia="Tahoma" w:cs="Times New Roman"/>
          <w:sz w:val="24"/>
          <w:szCs w:val="24"/>
        </w:rPr>
        <w:t>«</w:t>
      </w:r>
      <w:r>
        <w:rPr>
          <w:rFonts w:cs="Times New Roman"/>
          <w:b/>
          <w:bCs/>
          <w:sz w:val="24"/>
          <w:szCs w:val="24"/>
        </w:rPr>
        <w:t>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cs="Times New Roman"/>
          <w:sz w:val="24"/>
          <w:szCs w:val="24"/>
        </w:rPr>
        <w:t>Начальник АТЦ ООО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«Самарские</w:t>
      </w:r>
      <w:r>
        <w:rPr>
          <w:rFonts w:eastAsia="Tahoma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cs="Times New Roman"/>
          <w:sz w:val="24"/>
          <w:szCs w:val="24"/>
        </w:rPr>
        <w:t>_______________ П.В. Иванов</w:t>
      </w:r>
    </w:p>
    <w:p>
      <w:pPr>
        <w:pStyle w:val="Normal"/>
        <w:jc w:val="center"/>
        <w:rPr/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eastAsia="Times New Roman" w:cs="Times New Roman"/>
          <w:sz w:val="24"/>
          <w:szCs w:val="24"/>
        </w:rPr>
        <w:t>03 апреля</w:t>
      </w:r>
      <w:r>
        <w:rPr>
          <w:rFonts w:cs="Times New Roman"/>
          <w:sz w:val="24"/>
          <w:szCs w:val="24"/>
        </w:rPr>
        <w:t xml:space="preserve"> 2023 г.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на услуги по техническому обслуживанию и ремонту постгарантийных транспортных средств ГАЗ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10160" w:type="dxa"/>
        <w:jc w:val="left"/>
        <w:tblInd w:w="-404" w:type="dxa"/>
        <w:tblCellMar>
          <w:top w:w="105" w:type="dxa"/>
          <w:left w:w="50" w:type="dxa"/>
          <w:bottom w:w="105" w:type="dxa"/>
          <w:right w:w="105" w:type="dxa"/>
        </w:tblCellMar>
      </w:tblPr>
      <w:tblGrid>
        <w:gridCol w:w="480"/>
        <w:gridCol w:w="3142"/>
        <w:gridCol w:w="6538"/>
      </w:tblGrid>
      <w:tr>
        <w:trPr>
          <w:trHeight w:val="466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443056, г.Самара, ул. Луначарского, 56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Техническое обслуживание (далее ТО) и ремонт постгарантийных транспортных средств ГАЗ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(далее ТС).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lineRule="atLeast" w:line="21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4"/>
              <w:snapToGrid w:val="false"/>
              <w:rPr/>
            </w:pPr>
            <w:r>
              <w:rPr>
                <w:rFonts w:cs="Times New Roman"/>
                <w:sz w:val="24"/>
                <w:szCs w:val="24"/>
              </w:rPr>
              <w:t>Приложения № 1, 2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8"/>
              <w:spacing w:before="0" w:after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диагностике, ТО и дополнительному ремонту ТС, включая все виды ремонтных работ, в том числе: регулировка узлов и агрегатов, развал-схождение, ремонт подвески и ходовой части, двигателя, тормозной системы и электрики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Работы по </w:t>
            </w:r>
            <w:r>
              <w:rPr>
                <w:rFonts w:cs="Times New Roman"/>
                <w:sz w:val="24"/>
                <w:szCs w:val="24"/>
                <w:lang w:val="ru-RU"/>
              </w:rPr>
              <w:t>ТО и дополнительному ремонту,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выполняются с использованием оборудования, запасных частей, деталей, агрегатов и узлов, смазочных материалов Исполнителя, стоимость которых входит в общую стоимость ТО и ремонта.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>Запасные части требующие замены при проведении работ, предоставляются Исполнителем и стоимость данных запасных частей согласовываются с Заказчиком (по каждой позиции).</w:t>
            </w:r>
          </w:p>
          <w:p>
            <w:pPr>
              <w:pStyle w:val="Style1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предоставляет Заказчику бесплатное хранение ТС на охраняемой территории на время ожидания работ и после их окончания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 Заказчика отсутствует обязанность приобретения всего предусмотренного объема работ                                        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</w:t>
            </w:r>
          </w:p>
        </w:tc>
      </w:tr>
      <w:tr>
        <w:trPr>
          <w:trHeight w:val="413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Оформление принимаемых решений в ходе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Услуги предоставляются на основании поданной Заказчиком заявки 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</w:t>
            </w:r>
          </w:p>
        </w:tc>
      </w:tr>
      <w:tr>
        <w:trPr>
          <w:trHeight w:val="251" w:hRule="atLeast"/>
        </w:trPr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данные, для  выполнения работ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 Исполнитель обязуется исключить негативное воздействие на окружающую среду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Техническое требование к технологическому оборудованию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3. Счет-фактура</w:t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Заказ-наряд              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</w:t>
            </w:r>
          </w:p>
        </w:tc>
      </w:tr>
      <w:tr>
        <w:trPr/>
        <w:tc>
          <w:tcPr>
            <w:tcW w:w="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spacing w:before="0"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Style23"/>
              <w:snapToGrid w:val="fals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Дополнительные требования и особые условия </w:t>
            </w:r>
          </w:p>
        </w:tc>
        <w:tc>
          <w:tcPr>
            <w:tcW w:w="6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Arial" w:cs="Times New Roman"/>
                <w:sz w:val="24"/>
                <w:szCs w:val="24"/>
              </w:rPr>
              <w:t xml:space="preserve">1.Исполнитель должен иметь подтверждённый документами опыт  работы с транспортными средствами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ГАЗ</w:t>
            </w:r>
            <w:r>
              <w:rPr>
                <w:rFonts w:eastAsia="Arial" w:cs="Times New Roman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.Недостатки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4.</w:t>
            </w:r>
            <w:r>
              <w:rPr>
                <w:rFonts w:cs="Times New Roman"/>
                <w:sz w:val="24"/>
                <w:szCs w:val="24"/>
              </w:rPr>
              <w:t xml:space="preserve">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>5.</w:t>
            </w:r>
            <w:r>
              <w:rPr>
                <w:rFonts w:cs="Times New Roman"/>
                <w:sz w:val="24"/>
                <w:szCs w:val="24"/>
              </w:rPr>
              <w:t>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/>
            </w:pPr>
            <w:r>
              <w:rPr/>
              <w:t>Затраты времени на проведение дополнительных ремонтных работ определяются по результатам диагностики.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на услуги по ТО и </w:t>
      </w:r>
    </w:p>
    <w:p>
      <w:pPr>
        <w:pStyle w:val="Normal"/>
        <w:jc w:val="right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sz w:val="24"/>
          <w:szCs w:val="24"/>
        </w:rPr>
        <w:t>ремонту ТС ГАЗ</w:t>
      </w:r>
    </w:p>
    <w:p>
      <w:pPr>
        <w:pStyle w:val="Normal"/>
        <w:jc w:val="right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Перечень постгарантийных транспортных средств ГАЗ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7350" w:type="dxa"/>
        <w:jc w:val="left"/>
        <w:tblInd w:w="900" w:type="dxa"/>
        <w:tblCellMar>
          <w:top w:w="0" w:type="dxa"/>
          <w:left w:w="78" w:type="dxa"/>
          <w:bottom w:w="0" w:type="dxa"/>
          <w:right w:w="108" w:type="dxa"/>
        </w:tblCellMar>
      </w:tblPr>
      <w:tblGrid>
        <w:gridCol w:w="514"/>
        <w:gridCol w:w="3000"/>
        <w:gridCol w:w="1875"/>
        <w:gridCol w:w="2"/>
        <w:gridCol w:w="1958"/>
      </w:tblGrid>
      <w:tr>
        <w:trPr>
          <w:trHeight w:val="556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  <w:b/>
                <w:b/>
              </w:rPr>
            </w:pPr>
            <w:r>
              <w:rPr>
                <w:rFonts w:cs="Times New Roman"/>
                <w:b/>
              </w:rPr>
              <w:t>Год выпуска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color w:val="000000"/>
                <w:shd w:fill="FFFFFF" w:val="clear"/>
                <w:lang w:val="en-US"/>
              </w:rPr>
              <w:t>3037НВ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color w:val="000000"/>
                <w:lang w:val="en-US"/>
              </w:rPr>
              <w:t>2019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color w:val="000000"/>
                <w:shd w:fill="FFFFFF" w:val="clear"/>
              </w:rPr>
              <w:t>Макар 28</w:t>
            </w:r>
            <w:r>
              <w:rPr>
                <w:color w:val="000000"/>
                <w:shd w:fill="FFFFFF" w:val="clear"/>
                <w:lang w:val="en-US"/>
              </w:rPr>
              <w:t>N</w:t>
            </w:r>
            <w:r>
              <w:rPr>
                <w:color w:val="000000"/>
                <w:shd w:fill="FFFFFF" w:val="clear"/>
              </w:rPr>
              <w:t>111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color w:val="000000"/>
                <w:lang w:val="en-US"/>
              </w:rPr>
              <w:t>2017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spacing w:lineRule="auto" w:line="360"/>
              <w:rPr/>
            </w:pPr>
            <w:r>
              <w:rPr>
                <w:color w:val="000000"/>
                <w:shd w:fill="FFFFFF" w:val="clear"/>
              </w:rPr>
              <w:t>5796Y2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>
                <w:color w:val="000000"/>
                <w:lang w:val="en-US"/>
              </w:rPr>
              <w:t xml:space="preserve">2020 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color w:val="000000"/>
                <w:shd w:fill="FFFFFF" w:val="clear"/>
              </w:rPr>
              <w:t>Газ 2705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12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2018</w:t>
            </w:r>
          </w:p>
        </w:tc>
      </w:tr>
      <w:tr>
        <w:trPr>
          <w:trHeight w:val="532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5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Газ 330232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/>
            </w:pPr>
            <w:r>
              <w:rPr/>
              <w:t>2018/</w:t>
            </w:r>
            <w:r>
              <w:rPr/>
              <w:t>20</w:t>
            </w:r>
          </w:p>
        </w:tc>
      </w:tr>
      <w:tr>
        <w:trPr>
          <w:trHeight w:val="532" w:hRule="atLeast"/>
        </w:trPr>
        <w:tc>
          <w:tcPr>
            <w:tcW w:w="3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8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32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/>
      </w:pPr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   П.В. Иванов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2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на услуги по ТО и 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ремонту ТС ГАЗ</w:t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 xml:space="preserve"> </w:t>
      </w:r>
    </w:p>
    <w:p>
      <w:pPr>
        <w:pStyle w:val="Normal"/>
        <w:jc w:val="center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/>
      </w:pPr>
      <w:bookmarkStart w:id="0" w:name="__DdeLink__566_1009825532"/>
      <w:bookmarkEnd w:id="0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</w:p>
    <w:p>
      <w:pPr>
        <w:pStyle w:val="Normal"/>
        <w:jc w:val="center"/>
        <w:rPr>
          <w:rFonts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</w:r>
    </w:p>
    <w:tbl>
      <w:tblPr>
        <w:tblW w:w="9559" w:type="dxa"/>
        <w:jc w:val="left"/>
        <w:tblInd w:w="-379" w:type="dxa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1"/>
        <w:gridCol w:w="1742"/>
        <w:gridCol w:w="1971"/>
        <w:gridCol w:w="1971"/>
        <w:gridCol w:w="1971"/>
        <w:gridCol w:w="1492"/>
      </w:tblGrid>
      <w:tr>
        <w:trPr>
          <w:trHeight w:val="554" w:hRule="atLeast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(40 000-60 000 км), руб. (без НДС)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(60 000-80 000 км), руб. (без НДС)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(80 000-100 000 км), руб. (без НДС)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>
          <w:trHeight w:val="510" w:hRule="exact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highlight w:val="white"/>
                <w:lang w:val="ru-RU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3037НВ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ascii="Times New Roman" w:hAnsi="Times New Roman" w:cs="Times New Roman"/>
                <w:color w:val="C9211E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C9211E"/>
                <w:sz w:val="24"/>
                <w:szCs w:val="24"/>
                <w:lang w:val="en-US"/>
              </w:rPr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  <w:tr>
        <w:trPr>
          <w:trHeight w:val="510" w:hRule="exact"/>
        </w:trPr>
        <w:tc>
          <w:tcPr>
            <w:tcW w:w="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>
                <w:rFonts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highlight w:val="white"/>
                <w:lang w:val="ru-RU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ru-RU"/>
              </w:rPr>
              <w:t>Макар 28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N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ru-RU"/>
              </w:rPr>
              <w:t>111</w:t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ascii="Times New Roman" w:hAnsi="Times New Roman" w:cs="Times New Roman"/>
                <w:color w:val="C9211E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C9211E"/>
                <w:sz w:val="24"/>
                <w:szCs w:val="24"/>
                <w:lang w:val="en-US"/>
              </w:rPr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tbl>
      <w:tblPr>
        <w:tblW w:w="9641" w:type="dxa"/>
        <w:jc w:val="left"/>
        <w:tblInd w:w="-371" w:type="dxa"/>
        <w:tblCellMar>
          <w:top w:w="55" w:type="dxa"/>
          <w:left w:w="54" w:type="dxa"/>
          <w:bottom w:w="55" w:type="dxa"/>
          <w:right w:w="55" w:type="dxa"/>
        </w:tblCellMar>
      </w:tblPr>
      <w:tblGrid>
        <w:gridCol w:w="396"/>
        <w:gridCol w:w="1758"/>
        <w:gridCol w:w="1964"/>
        <w:gridCol w:w="1964"/>
        <w:gridCol w:w="1964"/>
        <w:gridCol w:w="1594"/>
      </w:tblGrid>
      <w:tr>
        <w:trPr>
          <w:trHeight w:val="1082" w:hRule="atLeast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ТО-3</w:t>
            </w:r>
          </w:p>
          <w:p>
            <w:pPr>
              <w:pStyle w:val="Normal"/>
              <w:spacing w:before="0" w:after="60"/>
              <w:jc w:val="center"/>
              <w:rPr/>
            </w:pPr>
            <w:bookmarkStart w:id="1" w:name="__DdeLink__2964_1226736752"/>
            <w:r>
              <w:rPr>
                <w:b/>
                <w:sz w:val="21"/>
                <w:szCs w:val="21"/>
              </w:rPr>
              <w:t>(20 000-30 000 км), руб. (без НДС)</w:t>
            </w:r>
            <w:bookmarkEnd w:id="1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(30 000-40 000 км), руб. (без НДС)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  <w:sz w:val="21"/>
                <w:szCs w:val="21"/>
              </w:rPr>
              <w:t>(40 000-50 000 км), руб. (без НДС)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1"/>
                <w:szCs w:val="21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>
          <w:trHeight w:val="510" w:hRule="atLeast"/>
        </w:trPr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jc w:val="center"/>
              <w:rPr/>
            </w:pPr>
            <w:r>
              <w:rPr/>
              <w:t>3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spacing w:lineRule="auto" w:line="360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5796Y2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>
                <w:color w:val="C9211E"/>
              </w:rPr>
            </w:pPr>
            <w:r>
              <w:rPr>
                <w:color w:val="C9211E"/>
              </w:rPr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ab/>
      </w:r>
    </w:p>
    <w:tbl>
      <w:tblPr>
        <w:tblW w:w="9565" w:type="dxa"/>
        <w:jc w:val="left"/>
        <w:tblInd w:w="-347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4"/>
        <w:gridCol w:w="1705"/>
        <w:gridCol w:w="1487"/>
        <w:gridCol w:w="1488"/>
        <w:gridCol w:w="1486"/>
        <w:gridCol w:w="1487"/>
        <w:gridCol w:w="1517"/>
      </w:tblGrid>
      <w:tr>
        <w:trPr/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ТО-4</w:t>
            </w:r>
          </w:p>
          <w:p>
            <w:pPr>
              <w:pStyle w:val="Normal"/>
              <w:spacing w:before="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(45 000-60 000 км), руб. (без НДС)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ТО-5</w:t>
            </w:r>
          </w:p>
          <w:p>
            <w:pPr>
              <w:pStyle w:val="Normal"/>
              <w:spacing w:before="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(60 000-75 000 км), руб. (без НДС)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ТО-6</w:t>
            </w:r>
          </w:p>
          <w:p>
            <w:pPr>
              <w:pStyle w:val="Normal"/>
              <w:spacing w:before="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(75 000-90 000 км), руб. (без НДС)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b/>
              </w:rPr>
              <w:t>ТО-7</w:t>
            </w:r>
          </w:p>
          <w:p>
            <w:pPr>
              <w:pStyle w:val="Normal"/>
              <w:spacing w:before="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(90 000-105 000 км), руб. (без НДС)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Стоимость нормо-часа доп. ремонт. работ, руб. (без НДС)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jc w:val="center"/>
              <w:rPr/>
            </w:pPr>
            <w:r>
              <w:rPr/>
              <w:t>4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Times New Roman"/>
                <w:color w:val="000000"/>
                <w:shd w:fill="FFFFFF" w:val="clear"/>
              </w:rPr>
              <w:t>Газ 2705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jc w:val="center"/>
              <w:rPr/>
            </w:pPr>
            <w:r>
              <w:rPr/>
              <w:t>5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color w:val="000000"/>
                <w:lang w:val="ru-RU"/>
              </w:rPr>
              <w:t>Газ 330232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6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ascii="Times New Roman" w:hAnsi="Times New Roman" w:cs="Times New Roman"/>
          <w:sz w:val="24"/>
          <w:szCs w:val="24"/>
        </w:rPr>
      </w:pPr>
      <w:bookmarkStart w:id="2" w:name="__DdeLink__3111_1392044662"/>
      <w:bookmarkEnd w:id="2"/>
      <w:r>
        <w:rPr>
          <w:rFonts w:cs="Times New Roman"/>
          <w:sz w:val="24"/>
          <w:szCs w:val="24"/>
        </w:rPr>
        <w:t>Начальник  АТЦ                                                                                                            П.В. Иванов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Application>LibreOffice/6.3.4.2$Windows_X86_64 LibreOffice_project/60da17e045e08f1793c57c00ba83cdfce946d0aa</Application>
  <Pages>5</Pages>
  <Words>777</Words>
  <Characters>4909</Characters>
  <CharactersWithSpaces>6128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2019-04-16T13:27:00Z</dcterms:created>
  <dc:creator>User</dc:creator>
  <dc:description/>
  <dc:language>ru-RU</dc:language>
  <cp:lastModifiedBy/>
  <dcterms:modified xsi:type="dcterms:W3CDTF">2023-04-03T15:16:14Z</dcterms:modified>
  <cp:revision>58</cp:revision>
  <dc:subject/>
  <dc:title/>
</cp:coreProperties>
</file>